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4A0" w:firstRow="1" w:lastRow="0" w:firstColumn="1" w:lastColumn="0" w:noHBand="0" w:noVBand="1"/>
      </w:tblPr>
      <w:tblGrid>
        <w:gridCol w:w="9638"/>
      </w:tblGrid>
      <w:tr w:rsidR="00417C93" w14:paraId="21B6FEDC" w14:textId="77777777" w:rsidTr="00417C93">
        <w:trPr>
          <w:jc w:val="center"/>
        </w:trPr>
        <w:tc>
          <w:tcPr>
            <w:tcW w:w="0" w:type="auto"/>
            <w:shd w:val="clear" w:color="auto" w:fill="FFFFFF"/>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038"/>
            </w:tblGrid>
            <w:tr w:rsidR="00417C93" w14:paraId="6D280D67" w14:textId="77777777">
              <w:tc>
                <w:tcPr>
                  <w:tcW w:w="5000" w:type="pct"/>
                  <w:hideMark/>
                </w:tcPr>
                <w:tbl>
                  <w:tblPr>
                    <w:tblW w:w="5000" w:type="pct"/>
                    <w:tblCellMar>
                      <w:left w:w="0" w:type="dxa"/>
                      <w:right w:w="0" w:type="dxa"/>
                    </w:tblCellMar>
                    <w:tblLook w:val="04A0" w:firstRow="1" w:lastRow="0" w:firstColumn="1" w:lastColumn="0" w:noHBand="0" w:noVBand="1"/>
                  </w:tblPr>
                  <w:tblGrid>
                    <w:gridCol w:w="9038"/>
                  </w:tblGrid>
                  <w:tr w:rsidR="00417C93" w14:paraId="788E5C08" w14:textId="77777777">
                    <w:tc>
                      <w:tcPr>
                        <w:tcW w:w="0" w:type="auto"/>
                        <w:tcMar>
                          <w:top w:w="0" w:type="dxa"/>
                          <w:left w:w="75" w:type="dxa"/>
                          <w:bottom w:w="0" w:type="dxa"/>
                          <w:right w:w="75" w:type="dxa"/>
                        </w:tcMar>
                        <w:hideMark/>
                      </w:tcPr>
                      <w:tbl>
                        <w:tblPr>
                          <w:tblW w:w="5000" w:type="pct"/>
                          <w:tblCellMar>
                            <w:left w:w="0" w:type="dxa"/>
                            <w:right w:w="0" w:type="dxa"/>
                          </w:tblCellMar>
                          <w:tblLook w:val="04A0" w:firstRow="1" w:lastRow="0" w:firstColumn="1" w:lastColumn="0" w:noHBand="0" w:noVBand="1"/>
                        </w:tblPr>
                        <w:tblGrid>
                          <w:gridCol w:w="8888"/>
                        </w:tblGrid>
                        <w:tr w:rsidR="00417C93" w14:paraId="16BE3EC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88"/>
                              </w:tblGrid>
                              <w:tr w:rsidR="00417C93" w14:paraId="471E09B3" w14:textId="77777777">
                                <w:tc>
                                  <w:tcPr>
                                    <w:tcW w:w="0" w:type="auto"/>
                                    <w:tcMar>
                                      <w:top w:w="150" w:type="dxa"/>
                                      <w:left w:w="0" w:type="dxa"/>
                                      <w:bottom w:w="150" w:type="dxa"/>
                                      <w:right w:w="0" w:type="dxa"/>
                                    </w:tcMar>
                                    <w:hideMark/>
                                  </w:tcPr>
                                  <w:p w14:paraId="2EB73FF9" w14:textId="77777777" w:rsidR="00417C93" w:rsidRDefault="00417C93">
                                    <w:pPr>
                                      <w:pStyle w:val="NormaleWeb"/>
                                      <w:jc w:val="center"/>
                                      <w:rPr>
                                        <w:rFonts w:ascii="Arial" w:hAnsi="Arial" w:cs="Arial"/>
                                        <w:color w:val="3C4858"/>
                                        <w:sz w:val="36"/>
                                        <w:szCs w:val="36"/>
                                      </w:rPr>
                                    </w:pPr>
                                    <w:r>
                                      <w:rPr>
                                        <w:rStyle w:val="Enfasigrassetto"/>
                                        <w:rFonts w:ascii="Arial" w:hAnsi="Arial" w:cs="Arial"/>
                                        <w:color w:val="3C4858"/>
                                        <w:sz w:val="36"/>
                                        <w:szCs w:val="36"/>
                                        <w:u w:val="single"/>
                                      </w:rPr>
                                      <w:t>IMPORTANTE COMUNICAZIONE ASSICURATIVA</w:t>
                                    </w:r>
                                  </w:p>
                                </w:tc>
                              </w:tr>
                            </w:tbl>
                            <w:p w14:paraId="6666F47D" w14:textId="77777777" w:rsidR="00417C93" w:rsidRDefault="00417C93">
                              <w:pPr>
                                <w:rPr>
                                  <w:rFonts w:ascii="Times New Roman" w:eastAsia="Times New Roman" w:hAnsi="Times New Roman" w:cs="Times New Roman"/>
                                  <w:color w:val="auto"/>
                                  <w:sz w:val="20"/>
                                  <w:szCs w:val="20"/>
                                </w:rPr>
                              </w:pPr>
                            </w:p>
                          </w:tc>
                        </w:tr>
                      </w:tbl>
                      <w:p w14:paraId="1B7BD45B" w14:textId="77777777" w:rsidR="00417C93" w:rsidRDefault="00417C93">
                        <w:pPr>
                          <w:rPr>
                            <w:rFonts w:ascii="Times New Roman" w:eastAsia="Times New Roman" w:hAnsi="Times New Roman" w:cs="Times New Roman"/>
                            <w:color w:val="auto"/>
                            <w:sz w:val="20"/>
                            <w:szCs w:val="20"/>
                          </w:rPr>
                        </w:pPr>
                      </w:p>
                    </w:tc>
                  </w:tr>
                </w:tbl>
                <w:p w14:paraId="086D88DC" w14:textId="77777777" w:rsidR="00417C93" w:rsidRDefault="00417C93">
                  <w:pPr>
                    <w:rPr>
                      <w:rFonts w:ascii="Times New Roman" w:eastAsia="Times New Roman" w:hAnsi="Times New Roman" w:cs="Times New Roman"/>
                      <w:color w:val="auto"/>
                      <w:sz w:val="20"/>
                      <w:szCs w:val="20"/>
                    </w:rPr>
                  </w:pPr>
                </w:p>
              </w:tc>
            </w:tr>
          </w:tbl>
          <w:p w14:paraId="34970C13" w14:textId="77777777" w:rsidR="00417C93" w:rsidRDefault="00417C93">
            <w:pPr>
              <w:rPr>
                <w:rFonts w:ascii="Times New Roman" w:eastAsia="Times New Roman" w:hAnsi="Times New Roman" w:cs="Times New Roman"/>
                <w:color w:val="auto"/>
                <w:sz w:val="20"/>
                <w:szCs w:val="20"/>
              </w:rPr>
            </w:pPr>
          </w:p>
        </w:tc>
      </w:tr>
    </w:tbl>
    <w:p w14:paraId="045BFC1E" w14:textId="77777777" w:rsidR="00417C93" w:rsidRDefault="00417C93" w:rsidP="00417C9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638"/>
      </w:tblGrid>
      <w:tr w:rsidR="00417C93" w14:paraId="73AC14A2" w14:textId="77777777" w:rsidTr="00417C93">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038"/>
            </w:tblGrid>
            <w:tr w:rsidR="00417C93" w14:paraId="60800BE3" w14:textId="77777777">
              <w:tc>
                <w:tcPr>
                  <w:tcW w:w="5000" w:type="pct"/>
                  <w:hideMark/>
                </w:tcPr>
                <w:tbl>
                  <w:tblPr>
                    <w:tblpPr w:vertAnchor="text"/>
                    <w:tblW w:w="5000" w:type="pct"/>
                    <w:tblCellMar>
                      <w:left w:w="0" w:type="dxa"/>
                      <w:right w:w="0" w:type="dxa"/>
                    </w:tblCellMar>
                    <w:tblLook w:val="04A0" w:firstRow="1" w:lastRow="0" w:firstColumn="1" w:lastColumn="0" w:noHBand="0" w:noVBand="1"/>
                  </w:tblPr>
                  <w:tblGrid>
                    <w:gridCol w:w="9038"/>
                  </w:tblGrid>
                  <w:tr w:rsidR="00417C93" w14:paraId="7BD71AF8" w14:textId="77777777">
                    <w:tc>
                      <w:tcPr>
                        <w:tcW w:w="0" w:type="auto"/>
                        <w:hideMark/>
                      </w:tcPr>
                      <w:p w14:paraId="57E3B53B" w14:textId="77777777" w:rsidR="00417C93" w:rsidRDefault="00417C93">
                        <w:pPr>
                          <w:pStyle w:val="NormaleWeb"/>
                          <w:spacing w:line="235" w:lineRule="exact"/>
                          <w:jc w:val="center"/>
                          <w:rPr>
                            <w:rFonts w:ascii="Arial" w:hAnsi="Arial" w:cs="Arial"/>
                          </w:rPr>
                        </w:pPr>
                        <w:r>
                          <w:rPr>
                            <w:rFonts w:ascii="Arial" w:hAnsi="Arial" w:cs="Arial"/>
                            <w:color w:val="000000"/>
                          </w:rPr>
                          <w:t>Gentili Colleghi,</w:t>
                        </w:r>
                      </w:p>
                      <w:p w14:paraId="55AC8A53" w14:textId="77777777" w:rsidR="00417C93" w:rsidRDefault="00417C93">
                        <w:pPr>
                          <w:pStyle w:val="NormaleWeb"/>
                          <w:jc w:val="both"/>
                          <w:rPr>
                            <w:rFonts w:ascii="Arial" w:hAnsi="Arial" w:cs="Arial"/>
                          </w:rPr>
                        </w:pPr>
                        <w:r>
                          <w:rPr>
                            <w:rFonts w:ascii="Arial" w:hAnsi="Arial" w:cs="Arial"/>
                            <w:color w:val="000000"/>
                          </w:rPr>
                          <w:t>come ben sapete da numerosi anni la nostra sezione si avvale di una consulenza assicurativa che non solo è a disposizione gratuita per i colleghi ma a cui spesso ci rivolgiamo come Segreteria quando abbiamo delle perplessità circa alcune proposte che vengono fatte da altre assicurazioni, solo apparentemente più vantaggiose.</w:t>
                        </w:r>
                      </w:p>
                      <w:p w14:paraId="57436F96" w14:textId="77777777" w:rsidR="00417C93" w:rsidRDefault="00417C93">
                        <w:pPr>
                          <w:pStyle w:val="NormaleWeb"/>
                          <w:jc w:val="both"/>
                          <w:rPr>
                            <w:rFonts w:ascii="Arial" w:hAnsi="Arial" w:cs="Arial"/>
                          </w:rPr>
                        </w:pPr>
                        <w:r>
                          <w:rPr>
                            <w:rFonts w:ascii="Arial" w:hAnsi="Arial" w:cs="Arial"/>
                            <w:color w:val="000000"/>
                          </w:rPr>
                          <w:t>Recentemente è accaduto che una sigla sindacale minoritaria per acquisire consensi nella nostra area, per la quale ben poco ha fatto e della quale ben poco conosce, ha proposto una polizza assicurativa apparentemente gratuita che abbiamo sottoposto alla attenzione dei nostri esperti. </w:t>
                        </w:r>
                      </w:p>
                      <w:p w14:paraId="511CBABD" w14:textId="77777777" w:rsidR="00417C93" w:rsidRDefault="00417C93">
                        <w:pPr>
                          <w:pStyle w:val="NormaleWeb"/>
                          <w:jc w:val="both"/>
                          <w:rPr>
                            <w:rFonts w:ascii="Arial" w:hAnsi="Arial" w:cs="Arial"/>
                          </w:rPr>
                        </w:pPr>
                        <w:r>
                          <w:rPr>
                            <w:rFonts w:ascii="Arial" w:hAnsi="Arial" w:cs="Arial"/>
                            <w:color w:val="000000"/>
                          </w:rPr>
                          <w:t>Ebbene questa è la risposta tecnica che vogliamo portare alla conoscenza dei nostri iscritti.</w:t>
                        </w:r>
                      </w:p>
                      <w:p w14:paraId="5634B80E" w14:textId="77777777" w:rsidR="00417C93" w:rsidRDefault="00417C93">
                        <w:pPr>
                          <w:pStyle w:val="NormaleWeb"/>
                          <w:jc w:val="both"/>
                          <w:rPr>
                            <w:rFonts w:ascii="Arial" w:hAnsi="Arial" w:cs="Arial"/>
                          </w:rPr>
                        </w:pPr>
                        <w:r>
                          <w:rPr>
                            <w:rFonts w:ascii="Arial" w:hAnsi="Arial" w:cs="Arial"/>
                          </w:rPr>
                          <w:t> </w:t>
                        </w:r>
                      </w:p>
                      <w:p w14:paraId="3F85D14B" w14:textId="77777777" w:rsidR="00417C93" w:rsidRDefault="00417C93">
                        <w:pPr>
                          <w:pStyle w:val="NormaleWeb"/>
                          <w:jc w:val="both"/>
                          <w:rPr>
                            <w:rFonts w:ascii="Arial" w:hAnsi="Arial" w:cs="Arial"/>
                          </w:rPr>
                        </w:pPr>
                        <w:r>
                          <w:rPr>
                            <w:rFonts w:ascii="Arial" w:hAnsi="Arial" w:cs="Arial"/>
                            <w:color w:val="000000"/>
                          </w:rPr>
                          <w:t>“Innanzitutto secondo i dettami della Legge Gelli il massimo risarcimento che un medico, dipendente, convenzionato o che a qualsiasi titolo collabori con una struttura (Asl, Aziende Ospedaliere ecc.), è tenuto a riconoscere è pari a 3 volte la R.A.L. (Retribuzione Annua Lorda per la quale </w:t>
                        </w:r>
                        <w:r>
                          <w:rPr>
                            <w:rFonts w:ascii="Arial" w:hAnsi="Arial" w:cs="Arial"/>
                            <w:color w:val="21253E"/>
                          </w:rPr>
                          <w:t>dovrà prendersi come riferimento l’anno in cui il medico ha registrato il maggior guadagno tra l’anno precedente e quello successivo),</w:t>
                        </w:r>
                        <w:r>
                          <w:rPr>
                            <w:rFonts w:ascii="Arial" w:hAnsi="Arial" w:cs="Arial"/>
                            <w:color w:val="000000"/>
                          </w:rPr>
                          <w:t xml:space="preserve"> parametro ovviamente “soggettivo” nel senso che non tutti i medici percepiscono lo stesso compenso (per anzianità diversa, per ore di lavoro o per tipologia contrattuale o di convenzione che possono differire). </w:t>
                        </w:r>
                      </w:p>
                      <w:p w14:paraId="0BBB0CC8" w14:textId="77777777" w:rsidR="00417C93" w:rsidRDefault="00417C93">
                        <w:pPr>
                          <w:pStyle w:val="NormaleWeb"/>
                          <w:jc w:val="both"/>
                          <w:rPr>
                            <w:rFonts w:ascii="Arial" w:hAnsi="Arial" w:cs="Arial"/>
                          </w:rPr>
                        </w:pPr>
                        <w:r>
                          <w:rPr>
                            <w:rFonts w:ascii="Arial" w:hAnsi="Arial" w:cs="Arial"/>
                            <w:color w:val="000000"/>
                          </w:rPr>
                          <w:t>In base a questa premessa potrebbe sembrare accettabile un massimale pari a tre volte la R.A.L. ma la cosa tuttavia si complica quando si considera l’eventualità di una condanna in solido (con altri colleghi o con la stessa struttura), in questa eventualità infatti il danneggiato ha diritto di agire a sua discrezione contro uno solo dei condannati in solido sul quale cadrà l’obbligo di rispondere con il suo patrimonio anche delle quote spettanti agli altri convenuti fermo il diritto di regresso per il recupero delle quote.</w:t>
                        </w:r>
                      </w:p>
                      <w:p w14:paraId="21E602AA" w14:textId="77777777" w:rsidR="00417C93" w:rsidRDefault="00417C93">
                        <w:pPr>
                          <w:pStyle w:val="NormaleWeb"/>
                          <w:jc w:val="both"/>
                          <w:rPr>
                            <w:rFonts w:ascii="Arial" w:hAnsi="Arial" w:cs="Arial"/>
                          </w:rPr>
                        </w:pPr>
                        <w:r>
                          <w:rPr>
                            <w:rFonts w:ascii="Arial" w:hAnsi="Arial" w:cs="Arial"/>
                            <w:color w:val="000000"/>
                          </w:rPr>
                          <w:t>Appare quindi evidente che il massimale proposto da altre sigle non copre il triplo della R.A.L. (</w:t>
                        </w:r>
                        <w:r>
                          <w:rPr>
                            <w:rFonts w:ascii="Arial" w:hAnsi="Arial" w:cs="Arial"/>
                            <w:color w:val="000000"/>
                            <w:u w:val="single"/>
                          </w:rPr>
                          <w:t>quindi per arrivare almeno al triplo della R.A.L. andrebbe comunque acquistata un'estensione</w:t>
                        </w:r>
                        <w:r>
                          <w:rPr>
                            <w:rFonts w:ascii="Arial" w:hAnsi="Arial" w:cs="Arial"/>
                            <w:color w:val="000000"/>
                          </w:rPr>
                          <w:t>) e sicuramente non copre l’eventualità prevista dalla Legge (e sempre più spesso adottata) della condanna in solido (dovendo rispondere con il proprio patrimonio anche degli errori altrui dovendosi successivamente intraprendere un'azione di regresso).</w:t>
                        </w:r>
                      </w:p>
                      <w:p w14:paraId="1000FB78" w14:textId="77777777" w:rsidR="00417C93" w:rsidRDefault="00417C93">
                        <w:pPr>
                          <w:pStyle w:val="NormaleWeb"/>
                          <w:jc w:val="both"/>
                          <w:rPr>
                            <w:rFonts w:ascii="Arial" w:hAnsi="Arial" w:cs="Arial"/>
                          </w:rPr>
                        </w:pPr>
                        <w:r>
                          <w:rPr>
                            <w:rFonts w:ascii="Arial" w:hAnsi="Arial" w:cs="Arial"/>
                          </w:rPr>
                          <w:t> </w:t>
                        </w:r>
                      </w:p>
                      <w:p w14:paraId="10BBD78E" w14:textId="77777777" w:rsidR="00417C93" w:rsidRDefault="00417C93">
                        <w:pPr>
                          <w:pStyle w:val="NormaleWeb"/>
                          <w:jc w:val="both"/>
                          <w:rPr>
                            <w:rFonts w:ascii="Arial" w:hAnsi="Arial" w:cs="Arial"/>
                          </w:rPr>
                        </w:pPr>
                        <w:r>
                          <w:rPr>
                            <w:rStyle w:val="Enfasigrassetto"/>
                            <w:rFonts w:ascii="Arial" w:hAnsi="Arial" w:cs="Arial"/>
                            <w:color w:val="000000"/>
                          </w:rPr>
                          <w:t xml:space="preserve">La soluzione assicurativa “entry </w:t>
                        </w:r>
                        <w:proofErr w:type="spellStart"/>
                        <w:r>
                          <w:rPr>
                            <w:rStyle w:val="Enfasigrassetto"/>
                            <w:rFonts w:ascii="Arial" w:hAnsi="Arial" w:cs="Arial"/>
                            <w:color w:val="000000"/>
                          </w:rPr>
                          <w:t>level</w:t>
                        </w:r>
                        <w:proofErr w:type="spellEnd"/>
                        <w:r>
                          <w:rPr>
                            <w:rStyle w:val="Enfasigrassetto"/>
                            <w:rFonts w:ascii="Arial" w:hAnsi="Arial" w:cs="Arial"/>
                            <w:color w:val="000000"/>
                          </w:rPr>
                          <w:t>” che i nostri consulenti propongono come base a tutti gli iscritti SUMAI di Napoli, con massimale pari a 1.000.000 € e premio pari a 245,00 €, comprende anche l’estensione per la condanna in solido (fino appunto a 1.000.000 €), per chi è interessato è possibile prevedere massimali da 2.500.000 e 5.000.000 € con premi da 325,00 € e 400,00 €.</w:t>
                        </w:r>
                      </w:p>
                      <w:p w14:paraId="11491577" w14:textId="77777777" w:rsidR="00417C93" w:rsidRDefault="00417C93">
                        <w:pPr>
                          <w:pStyle w:val="NormaleWeb"/>
                          <w:jc w:val="both"/>
                          <w:rPr>
                            <w:rFonts w:ascii="Arial" w:hAnsi="Arial" w:cs="Arial"/>
                          </w:rPr>
                        </w:pPr>
                        <w:r>
                          <w:rPr>
                            <w:rFonts w:ascii="Arial" w:hAnsi="Arial" w:cs="Arial"/>
                          </w:rPr>
                          <w:t> </w:t>
                        </w:r>
                      </w:p>
                      <w:p w14:paraId="3BC93685" w14:textId="77777777" w:rsidR="00417C93" w:rsidRDefault="00417C93">
                        <w:pPr>
                          <w:pStyle w:val="NormaleWeb"/>
                          <w:jc w:val="both"/>
                          <w:rPr>
                            <w:rFonts w:ascii="Arial" w:hAnsi="Arial" w:cs="Arial"/>
                          </w:rPr>
                        </w:pPr>
                        <w:r>
                          <w:rPr>
                            <w:rFonts w:ascii="Arial" w:hAnsi="Arial" w:cs="Arial"/>
                            <w:color w:val="000000"/>
                          </w:rPr>
                          <w:t>Si segnala infine che il Decreto attuativo n. 232 della Legge Gelli-Bianco emanato a dicembre 2023, entrato in vigore a marzo 2024 (con un periodo di tolleranza per adeguarsi fino a marzo 2026) prevede per gli esercenti la professione sanitaria</w:t>
                        </w:r>
                        <w:r>
                          <w:rPr>
                            <w:rFonts w:ascii="Arial" w:hAnsi="Arial" w:cs="Arial"/>
                            <w:color w:val="000000"/>
                            <w:u w:val="single"/>
                          </w:rPr>
                          <w:t xml:space="preserve"> i seguenti massimali minimi</w:t>
                        </w:r>
                        <w:r>
                          <w:rPr>
                            <w:rFonts w:ascii="Arial" w:hAnsi="Arial" w:cs="Arial"/>
                            <w:color w:val="000000"/>
                          </w:rPr>
                          <w:t>:</w:t>
                        </w:r>
                      </w:p>
                      <w:p w14:paraId="313D6050" w14:textId="77777777" w:rsidR="00417C93" w:rsidRDefault="00417C93">
                        <w:pPr>
                          <w:pStyle w:val="NormaleWeb"/>
                          <w:jc w:val="both"/>
                          <w:rPr>
                            <w:rFonts w:ascii="Arial" w:hAnsi="Arial" w:cs="Arial"/>
                          </w:rPr>
                        </w:pPr>
                        <w:r>
                          <w:rPr>
                            <w:rFonts w:ascii="Arial" w:hAnsi="Arial" w:cs="Arial"/>
                            <w:color w:val="000000"/>
                          </w:rPr>
                          <w:t> </w:t>
                        </w:r>
                      </w:p>
                      <w:p w14:paraId="1AA4A84B" w14:textId="77777777" w:rsidR="00417C93" w:rsidRDefault="00417C93">
                        <w:pPr>
                          <w:pStyle w:val="NormaleWeb"/>
                          <w:jc w:val="both"/>
                          <w:rPr>
                            <w:rFonts w:ascii="Arial" w:hAnsi="Arial" w:cs="Arial"/>
                          </w:rPr>
                        </w:pPr>
                        <w:r>
                          <w:rPr>
                            <w:rFonts w:ascii="Arial" w:hAnsi="Arial" w:cs="Arial"/>
                            <w:color w:val="000000"/>
                          </w:rPr>
                          <w:t>non inferiore ad € 1Mln per sinistro e € 3Mln per anno per quelli che non svolgono attività chirurgica, ortopedica, anestesiologica e parto;</w:t>
                        </w:r>
                      </w:p>
                      <w:p w14:paraId="39D906CF" w14:textId="77777777" w:rsidR="00417C93" w:rsidRDefault="00417C93">
                        <w:pPr>
                          <w:pStyle w:val="NormaleWeb"/>
                          <w:jc w:val="both"/>
                          <w:rPr>
                            <w:rFonts w:ascii="Arial" w:hAnsi="Arial" w:cs="Arial"/>
                          </w:rPr>
                        </w:pPr>
                        <w:r>
                          <w:rPr>
                            <w:rFonts w:ascii="Arial" w:hAnsi="Arial" w:cs="Arial"/>
                            <w:color w:val="000000"/>
                          </w:rPr>
                          <w:t> </w:t>
                        </w:r>
                      </w:p>
                      <w:p w14:paraId="55E70A91" w14:textId="77777777" w:rsidR="00417C93" w:rsidRDefault="00417C93">
                        <w:pPr>
                          <w:pStyle w:val="NormaleWeb"/>
                          <w:jc w:val="both"/>
                          <w:rPr>
                            <w:rFonts w:ascii="Arial" w:hAnsi="Arial" w:cs="Arial"/>
                          </w:rPr>
                        </w:pPr>
                        <w:r>
                          <w:rPr>
                            <w:rFonts w:ascii="Arial" w:hAnsi="Arial" w:cs="Arial"/>
                            <w:color w:val="000000"/>
                          </w:rPr>
                          <w:lastRenderedPageBreak/>
                          <w:t>non inferiore a € 2 Mln per sinistro e € 6Mln per anno per chi svolge anche attività chirurgica, ortopedica, anestesiologica e parto</w:t>
                        </w:r>
                      </w:p>
                      <w:p w14:paraId="1B8D2E93" w14:textId="77777777" w:rsidR="00417C93" w:rsidRDefault="00417C93">
                        <w:pPr>
                          <w:pStyle w:val="NormaleWeb"/>
                          <w:jc w:val="both"/>
                          <w:rPr>
                            <w:rFonts w:ascii="Arial" w:hAnsi="Arial" w:cs="Arial"/>
                          </w:rPr>
                        </w:pPr>
                        <w:r>
                          <w:rPr>
                            <w:rFonts w:ascii="Arial" w:hAnsi="Arial" w:cs="Arial"/>
                            <w:color w:val="000000"/>
                          </w:rPr>
                          <w:t> </w:t>
                        </w:r>
                      </w:p>
                      <w:p w14:paraId="12408556" w14:textId="77777777" w:rsidR="00417C93" w:rsidRDefault="00417C93">
                        <w:pPr>
                          <w:pStyle w:val="NormaleWeb"/>
                          <w:jc w:val="both"/>
                          <w:rPr>
                            <w:rFonts w:ascii="Arial" w:hAnsi="Arial" w:cs="Arial"/>
                          </w:rPr>
                        </w:pPr>
                        <w:r>
                          <w:rPr>
                            <w:rFonts w:ascii="Arial" w:hAnsi="Arial" w:cs="Arial"/>
                            <w:color w:val="000000"/>
                          </w:rPr>
                          <w:t>Alla luce di quanto sopra, a partire da marzo 2026, risulterà inadeguata una polizza con massimale che non rispetti i suddetti minimi e i nostri consulenti già stanno lavorando per soluzioni ottimali e congeniali alle caratteristiche degli specialisti ambulatoriali. </w:t>
                        </w:r>
                      </w:p>
                      <w:p w14:paraId="5047F61A" w14:textId="77777777" w:rsidR="00417C93" w:rsidRDefault="00417C93">
                        <w:pPr>
                          <w:pStyle w:val="NormaleWeb"/>
                          <w:jc w:val="both"/>
                          <w:rPr>
                            <w:rFonts w:ascii="Arial" w:hAnsi="Arial" w:cs="Arial"/>
                          </w:rPr>
                        </w:pPr>
                        <w:r>
                          <w:rPr>
                            <w:rFonts w:ascii="Arial" w:hAnsi="Arial" w:cs="Arial"/>
                          </w:rPr>
                          <w:t> </w:t>
                        </w:r>
                      </w:p>
                      <w:p w14:paraId="73B936AF" w14:textId="77777777" w:rsidR="00417C93" w:rsidRDefault="00417C93">
                        <w:pPr>
                          <w:pStyle w:val="NormaleWeb"/>
                          <w:jc w:val="both"/>
                          <w:rPr>
                            <w:rFonts w:ascii="Arial" w:hAnsi="Arial" w:cs="Arial"/>
                          </w:rPr>
                        </w:pPr>
                        <w:r>
                          <w:rPr>
                            <w:rFonts w:ascii="Arial" w:hAnsi="Arial" w:cs="Arial"/>
                            <w:color w:val="000000"/>
                          </w:rPr>
                          <w:t>Per chi volesse approfondire si ricorda che i consulenti assicurativi sono presenti in Sede il secondo giovedì pomeriggio di ogni mese e sono comunque contattabili ai numeri:</w:t>
                        </w:r>
                      </w:p>
                      <w:p w14:paraId="2373BF5A" w14:textId="77777777" w:rsidR="00417C93" w:rsidRDefault="00417C93">
                        <w:pPr>
                          <w:pStyle w:val="NormaleWeb"/>
                          <w:jc w:val="both"/>
                          <w:rPr>
                            <w:rFonts w:ascii="Arial" w:hAnsi="Arial" w:cs="Arial"/>
                          </w:rPr>
                        </w:pPr>
                        <w:r>
                          <w:rPr>
                            <w:rFonts w:ascii="Arial" w:hAnsi="Arial" w:cs="Arial"/>
                          </w:rPr>
                          <w:t> </w:t>
                        </w:r>
                      </w:p>
                      <w:p w14:paraId="2A80A934" w14:textId="77777777" w:rsidR="00417C93" w:rsidRDefault="00417C93">
                        <w:pPr>
                          <w:pStyle w:val="NormaleWeb"/>
                          <w:spacing w:line="480" w:lineRule="auto"/>
                          <w:rPr>
                            <w:rFonts w:ascii="Arial" w:hAnsi="Arial" w:cs="Arial"/>
                          </w:rPr>
                        </w:pPr>
                        <w:r>
                          <w:rPr>
                            <w:rFonts w:ascii="Arial" w:hAnsi="Arial" w:cs="Arial"/>
                          </w:rPr>
                          <w:t xml:space="preserve">Raffaele Mangiacapra tel. 3471782427 – </w:t>
                        </w:r>
                        <w:hyperlink r:id="rId4" w:history="1">
                          <w:r>
                            <w:rPr>
                              <w:rStyle w:val="Collegamentoipertestuale"/>
                              <w:rFonts w:ascii="Arial" w:hAnsi="Arial" w:cs="Arial"/>
                            </w:rPr>
                            <w:t>raffaelemangiacapra@gmail.com</w:t>
                          </w:r>
                        </w:hyperlink>
                      </w:p>
                      <w:p w14:paraId="24E7EAA3" w14:textId="77777777" w:rsidR="00417C93" w:rsidRDefault="00417C93">
                        <w:pPr>
                          <w:pStyle w:val="NormaleWeb"/>
                          <w:spacing w:line="480" w:lineRule="auto"/>
                          <w:rPr>
                            <w:rFonts w:ascii="Arial" w:hAnsi="Arial" w:cs="Arial"/>
                          </w:rPr>
                        </w:pPr>
                        <w:r>
                          <w:rPr>
                            <w:rFonts w:ascii="Arial" w:hAnsi="Arial" w:cs="Arial"/>
                          </w:rPr>
                          <w:t xml:space="preserve">Dott. Mariano Persico tel. 3333326663 – </w:t>
                        </w:r>
                        <w:hyperlink r:id="rId5" w:history="1">
                          <w:r>
                            <w:rPr>
                              <w:rStyle w:val="Collegamentoipertestuale"/>
                              <w:rFonts w:ascii="Arial" w:hAnsi="Arial" w:cs="Arial"/>
                            </w:rPr>
                            <w:t>persicomariano@gmail.com</w:t>
                          </w:r>
                        </w:hyperlink>
                      </w:p>
                      <w:p w14:paraId="70213246" w14:textId="77777777" w:rsidR="00417C93" w:rsidRDefault="00417C93">
                        <w:pPr>
                          <w:pStyle w:val="NormaleWeb"/>
                          <w:jc w:val="center"/>
                          <w:rPr>
                            <w:rFonts w:ascii="Arial" w:hAnsi="Arial" w:cs="Arial"/>
                          </w:rPr>
                        </w:pPr>
                        <w:r>
                          <w:rPr>
                            <w:rFonts w:ascii="Arial" w:hAnsi="Arial" w:cs="Arial"/>
                          </w:rPr>
                          <w:t>Il Segretario Provinciale SUMAI</w:t>
                        </w:r>
                      </w:p>
                      <w:p w14:paraId="44929713" w14:textId="77777777" w:rsidR="00417C93" w:rsidRDefault="00417C93">
                        <w:pPr>
                          <w:pStyle w:val="NormaleWeb"/>
                          <w:jc w:val="center"/>
                          <w:rPr>
                            <w:rFonts w:ascii="Arial" w:hAnsi="Arial" w:cs="Arial"/>
                          </w:rPr>
                        </w:pPr>
                        <w:r>
                          <w:rPr>
                            <w:rFonts w:ascii="Arial" w:hAnsi="Arial" w:cs="Arial"/>
                          </w:rPr>
                          <w:t>Dott. Gabriele Peperoni</w:t>
                        </w:r>
                      </w:p>
                      <w:p w14:paraId="46BA8041" w14:textId="77777777" w:rsidR="00417C93" w:rsidRDefault="00417C93">
                        <w:pPr>
                          <w:pStyle w:val="NormaleWeb"/>
                          <w:jc w:val="both"/>
                          <w:rPr>
                            <w:rFonts w:ascii="Arial" w:hAnsi="Arial" w:cs="Arial"/>
                          </w:rPr>
                        </w:pPr>
                        <w:r>
                          <w:rPr>
                            <w:rFonts w:ascii="Arial" w:hAnsi="Arial" w:cs="Arial"/>
                          </w:rPr>
                          <w:t> </w:t>
                        </w:r>
                      </w:p>
                    </w:tc>
                  </w:tr>
                </w:tbl>
                <w:p w14:paraId="0632A8BD" w14:textId="77777777" w:rsidR="00417C93" w:rsidRDefault="00417C93">
                  <w:pPr>
                    <w:rPr>
                      <w:rFonts w:ascii="Times New Roman" w:eastAsia="Times New Roman" w:hAnsi="Times New Roman" w:cs="Times New Roman"/>
                      <w:color w:val="auto"/>
                      <w:sz w:val="20"/>
                      <w:szCs w:val="20"/>
                    </w:rPr>
                  </w:pPr>
                </w:p>
              </w:tc>
            </w:tr>
          </w:tbl>
          <w:p w14:paraId="2B54EA45" w14:textId="77777777" w:rsidR="00417C93" w:rsidRDefault="00417C93">
            <w:pPr>
              <w:rPr>
                <w:rFonts w:ascii="Times New Roman" w:eastAsia="Times New Roman" w:hAnsi="Times New Roman" w:cs="Times New Roman"/>
                <w:color w:val="auto"/>
                <w:sz w:val="20"/>
                <w:szCs w:val="20"/>
              </w:rPr>
            </w:pPr>
          </w:p>
        </w:tc>
      </w:tr>
    </w:tbl>
    <w:p w14:paraId="79381D15" w14:textId="77777777" w:rsidR="001D3CC4" w:rsidRDefault="001D3CC4"/>
    <w:sectPr w:rsidR="001D3C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98"/>
    <w:rsid w:val="001D3CC4"/>
    <w:rsid w:val="00417C93"/>
    <w:rsid w:val="00BB5C62"/>
    <w:rsid w:val="00BF10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12D2E-CA50-4A66-B9DC-AD9A905C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7C93"/>
    <w:pPr>
      <w:spacing w:after="0" w:line="240" w:lineRule="auto"/>
    </w:pPr>
    <w:rPr>
      <w:rFonts w:ascii="Aptos" w:hAnsi="Aptos" w:cs="Aptos"/>
      <w:color w:val="3B3F44"/>
      <w:kern w:val="0"/>
      <w:sz w:val="24"/>
      <w:szCs w:val="24"/>
      <w:lang w:eastAsia="it-IT"/>
      <w14:ligatures w14:val="none"/>
    </w:rPr>
  </w:style>
  <w:style w:type="paragraph" w:styleId="Titolo1">
    <w:name w:val="heading 1"/>
    <w:basedOn w:val="Normale"/>
    <w:next w:val="Normale"/>
    <w:link w:val="Titolo1Carattere"/>
    <w:uiPriority w:val="9"/>
    <w:qFormat/>
    <w:rsid w:val="00BF1098"/>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BF1098"/>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BF1098"/>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BF1098"/>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Titolo5">
    <w:name w:val="heading 5"/>
    <w:basedOn w:val="Normale"/>
    <w:next w:val="Normale"/>
    <w:link w:val="Titolo5Carattere"/>
    <w:uiPriority w:val="9"/>
    <w:semiHidden/>
    <w:unhideWhenUsed/>
    <w:qFormat/>
    <w:rsid w:val="00BF1098"/>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Titolo6">
    <w:name w:val="heading 6"/>
    <w:basedOn w:val="Normale"/>
    <w:next w:val="Normale"/>
    <w:link w:val="Titolo6Carattere"/>
    <w:uiPriority w:val="9"/>
    <w:semiHidden/>
    <w:unhideWhenUsed/>
    <w:qFormat/>
    <w:rsid w:val="00BF109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olo7">
    <w:name w:val="heading 7"/>
    <w:basedOn w:val="Normale"/>
    <w:next w:val="Normale"/>
    <w:link w:val="Titolo7Carattere"/>
    <w:uiPriority w:val="9"/>
    <w:semiHidden/>
    <w:unhideWhenUsed/>
    <w:qFormat/>
    <w:rsid w:val="00BF109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olo8">
    <w:name w:val="heading 8"/>
    <w:basedOn w:val="Normale"/>
    <w:next w:val="Normale"/>
    <w:link w:val="Titolo8Carattere"/>
    <w:uiPriority w:val="9"/>
    <w:semiHidden/>
    <w:unhideWhenUsed/>
    <w:qFormat/>
    <w:rsid w:val="00BF109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olo9">
    <w:name w:val="heading 9"/>
    <w:basedOn w:val="Normale"/>
    <w:next w:val="Normale"/>
    <w:link w:val="Titolo9Carattere"/>
    <w:uiPriority w:val="9"/>
    <w:semiHidden/>
    <w:unhideWhenUsed/>
    <w:qFormat/>
    <w:rsid w:val="00BF109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F1098"/>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BF1098"/>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BF1098"/>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BF1098"/>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BF1098"/>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BF109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F109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F109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F1098"/>
    <w:rPr>
      <w:rFonts w:eastAsiaTheme="majorEastAsia" w:cstheme="majorBidi"/>
      <w:color w:val="272727" w:themeColor="text1" w:themeTint="D8"/>
    </w:rPr>
  </w:style>
  <w:style w:type="paragraph" w:styleId="Titolo">
    <w:name w:val="Title"/>
    <w:basedOn w:val="Normale"/>
    <w:next w:val="Normale"/>
    <w:link w:val="TitoloCarattere"/>
    <w:uiPriority w:val="10"/>
    <w:qFormat/>
    <w:rsid w:val="00BF1098"/>
    <w:pPr>
      <w:spacing w:after="8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BF109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F109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BF109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F1098"/>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zioneCarattere">
    <w:name w:val="Citazione Carattere"/>
    <w:basedOn w:val="Carpredefinitoparagrafo"/>
    <w:link w:val="Citazione"/>
    <w:uiPriority w:val="29"/>
    <w:rsid w:val="00BF1098"/>
    <w:rPr>
      <w:i/>
      <w:iCs/>
      <w:color w:val="404040" w:themeColor="text1" w:themeTint="BF"/>
    </w:rPr>
  </w:style>
  <w:style w:type="paragraph" w:styleId="Paragrafoelenco">
    <w:name w:val="List Paragraph"/>
    <w:basedOn w:val="Normale"/>
    <w:uiPriority w:val="34"/>
    <w:qFormat/>
    <w:rsid w:val="00BF1098"/>
    <w:pPr>
      <w:spacing w:after="160" w:line="259" w:lineRule="auto"/>
      <w:ind w:left="720"/>
      <w:contextualSpacing/>
    </w:pPr>
    <w:rPr>
      <w:rFonts w:asciiTheme="minorHAnsi" w:hAnsiTheme="minorHAnsi" w:cstheme="minorBidi"/>
      <w:color w:val="auto"/>
      <w:kern w:val="2"/>
      <w:sz w:val="22"/>
      <w:szCs w:val="22"/>
      <w:lang w:eastAsia="en-US"/>
      <w14:ligatures w14:val="standardContextual"/>
    </w:rPr>
  </w:style>
  <w:style w:type="character" w:styleId="Enfasiintensa">
    <w:name w:val="Intense Emphasis"/>
    <w:basedOn w:val="Carpredefinitoparagrafo"/>
    <w:uiPriority w:val="21"/>
    <w:qFormat/>
    <w:rsid w:val="00BF1098"/>
    <w:rPr>
      <w:i/>
      <w:iCs/>
      <w:color w:val="2E74B5" w:themeColor="accent1" w:themeShade="BF"/>
    </w:rPr>
  </w:style>
  <w:style w:type="paragraph" w:styleId="Citazioneintensa">
    <w:name w:val="Intense Quote"/>
    <w:basedOn w:val="Normale"/>
    <w:next w:val="Normale"/>
    <w:link w:val="CitazioneintensaCarattere"/>
    <w:uiPriority w:val="30"/>
    <w:qFormat/>
    <w:rsid w:val="00BF109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cstheme="minorBidi"/>
      <w:i/>
      <w:iCs/>
      <w:color w:val="2E74B5" w:themeColor="accent1" w:themeShade="BF"/>
      <w:kern w:val="2"/>
      <w:sz w:val="22"/>
      <w:szCs w:val="22"/>
      <w:lang w:eastAsia="en-US"/>
      <w14:ligatures w14:val="standardContextual"/>
    </w:rPr>
  </w:style>
  <w:style w:type="character" w:customStyle="1" w:styleId="CitazioneintensaCarattere">
    <w:name w:val="Citazione intensa Carattere"/>
    <w:basedOn w:val="Carpredefinitoparagrafo"/>
    <w:link w:val="Citazioneintensa"/>
    <w:uiPriority w:val="30"/>
    <w:rsid w:val="00BF1098"/>
    <w:rPr>
      <w:i/>
      <w:iCs/>
      <w:color w:val="2E74B5" w:themeColor="accent1" w:themeShade="BF"/>
    </w:rPr>
  </w:style>
  <w:style w:type="character" w:styleId="Riferimentointenso">
    <w:name w:val="Intense Reference"/>
    <w:basedOn w:val="Carpredefinitoparagrafo"/>
    <w:uiPriority w:val="32"/>
    <w:qFormat/>
    <w:rsid w:val="00BF1098"/>
    <w:rPr>
      <w:b/>
      <w:bCs/>
      <w:smallCaps/>
      <w:color w:val="2E74B5" w:themeColor="accent1" w:themeShade="BF"/>
      <w:spacing w:val="5"/>
    </w:rPr>
  </w:style>
  <w:style w:type="character" w:styleId="Collegamentoipertestuale">
    <w:name w:val="Hyperlink"/>
    <w:basedOn w:val="Carpredefinitoparagrafo"/>
    <w:uiPriority w:val="99"/>
    <w:semiHidden/>
    <w:unhideWhenUsed/>
    <w:rsid w:val="00417C93"/>
    <w:rPr>
      <w:color w:val="0092FF"/>
      <w:u w:val="single"/>
    </w:rPr>
  </w:style>
  <w:style w:type="paragraph" w:styleId="NormaleWeb">
    <w:name w:val="Normal (Web)"/>
    <w:basedOn w:val="Normale"/>
    <w:uiPriority w:val="99"/>
    <w:semiHidden/>
    <w:unhideWhenUsed/>
    <w:rsid w:val="00417C93"/>
  </w:style>
  <w:style w:type="character" w:styleId="Enfasigrassetto">
    <w:name w:val="Strong"/>
    <w:basedOn w:val="Carpredefinitoparagrafo"/>
    <w:uiPriority w:val="22"/>
    <w:qFormat/>
    <w:rsid w:val="00417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16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rsicomariano@gmail.com" TargetMode="External"/><Relationship Id="rId4" Type="http://schemas.openxmlformats.org/officeDocument/2006/relationships/hyperlink" Target="mailto:raffaelemangiacapr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Peperoni</dc:creator>
  <cp:keywords/>
  <dc:description/>
  <cp:lastModifiedBy>Gabriele Peperoni</cp:lastModifiedBy>
  <cp:revision>2</cp:revision>
  <dcterms:created xsi:type="dcterms:W3CDTF">2025-01-22T17:17:00Z</dcterms:created>
  <dcterms:modified xsi:type="dcterms:W3CDTF">2025-01-22T17:17:00Z</dcterms:modified>
</cp:coreProperties>
</file>